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700"/>
        <w:gridCol w:w="68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1417"/>
        <w:gridCol w:w="1423"/>
      </w:tblGrid>
      <w:tr w:rsidR="000B7591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0B7591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0B7591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0B7591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4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432"/>
            </w:tblGrid>
            <w:tr w:rsidR="000B7591">
              <w:trPr>
                <w:jc w:val="center"/>
              </w:trPr>
              <w:tc>
                <w:tcPr>
                  <w:tcW w:w="4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0B7591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дошкольное образовательное учреждение  «Детский сад № 55»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47145214</w:t>
            </w:r>
          </w:p>
        </w:tc>
      </w:tr>
      <w:tr w:rsidR="000B7591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  <w:jc w:val="center"/>
            </w:pPr>
          </w:p>
        </w:tc>
      </w:tr>
      <w:tr w:rsidR="000B7591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3"/>
            </w:tblGrid>
            <w:tr w:rsidR="000B7591">
              <w:trPr>
                <w:jc w:val="center"/>
              </w:trPr>
              <w:tc>
                <w:tcPr>
                  <w:tcW w:w="14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4986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  <w:jc w:val="center"/>
            </w:pPr>
          </w:p>
        </w:tc>
      </w:tr>
      <w:tr w:rsidR="000B7591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0B7591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0B7591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  <w:jc w:val="center"/>
            </w:pPr>
          </w:p>
        </w:tc>
      </w:tr>
      <w:tr w:rsidR="000B7591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97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0B7591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0B7591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B7591" w:rsidRDefault="000B7591">
      <w:pPr>
        <w:rPr>
          <w:vanish/>
        </w:rPr>
      </w:pPr>
      <w:bookmarkStart w:id="1" w:name="__bookmark_3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0B7591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B7591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0B7591">
                  <w:pPr>
                    <w:spacing w:line="1" w:lineRule="auto"/>
                  </w:pPr>
                </w:p>
              </w:tc>
            </w:tr>
          </w:tbl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B7591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С июня 2015 года МДОУ центр развития ребенка-детский сад №55 переименован в МДОУ "Детский сад № 55",является бюджетным учреждением и получает субсидии на выполнение муниципального задания.В июле 2016 года была произведена реорганизация в форме присоединени</w:t>
                  </w:r>
                  <w:r>
                    <w:rPr>
                      <w:color w:val="000000"/>
                      <w:sz w:val="28"/>
                      <w:szCs w:val="28"/>
                    </w:rPr>
                    <w:t>я МДОУ "Детский сад № 17"</w:t>
                  </w:r>
                </w:p>
              </w:tc>
            </w:tr>
          </w:tbl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B7591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 учреждение получило пожертвования в  виде основных средств в сумме17048,54 руб, материальных запасов 10000 руб.денежных средств в размере 20000 руб.</w:t>
                  </w:r>
                </w:p>
              </w:tc>
            </w:tr>
          </w:tbl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B7591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2022 год учреждение получило субсидии на выполнение муниципального задания в полном объеме в размере 53 207 052,56руб.Субсидии использованы в соответствии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 планом ФХД остатка 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01.01.2023г   нет.    </w:t>
                  </w:r>
                </w:p>
                <w:p w:rsidR="000B7591" w:rsidRDefault="000B7591"/>
                <w:p w:rsidR="000B7591" w:rsidRDefault="000B7591"/>
              </w:tc>
            </w:tr>
          </w:tbl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отчетности учреждения»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B7591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Анализ формы 0503769 : В 2022году через счет 304.06 была переведена стоимость затрат на приобретение ОС за счет субсидий на иные цели  с КФО 5 на КФО 4.в сумме 594000руб и восстановлены кассовые расходы по выплате заработной плы за счет городского бюджета </w:t>
                  </w:r>
                  <w:r>
                    <w:rPr>
                      <w:color w:val="000000"/>
                      <w:sz w:val="28"/>
                      <w:szCs w:val="28"/>
                    </w:rPr>
                    <w:t>в сумме 320482руб Остаток на счете 304.03 на 01.01.2023 г составляет52084,65 руб по 211 статье(профвзносы и питание сотрудников) Так же  остаток резерва по счету 401.60 включает в себя остаток по статье 211 сумма38400,60 руб.,по статье213 сумма11596,98 руб</w:t>
                  </w:r>
                  <w:r>
                    <w:rPr>
                      <w:color w:val="000000"/>
                      <w:sz w:val="28"/>
                      <w:szCs w:val="28"/>
                    </w:rPr>
                    <w:t>.    </w:t>
                  </w:r>
                </w:p>
                <w:p w:rsidR="000B7591" w:rsidRDefault="000B7591"/>
                <w:p w:rsidR="000B7591" w:rsidRDefault="000B7591"/>
              </w:tc>
            </w:tr>
          </w:tbl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B7591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октябре 2022 года проведена плановая инвентаризация имущества детского сада. Излишек и недостач не выявлено. Анализ формы 0503721,  КФО 4 КОСГУ 199 сумма  3270руб. возврат МЦ из личного пользования сотрудниками. КФО 2 КОСГУ 199 сумма 183396,64руб, пожерт</w:t>
                  </w:r>
                  <w:r>
                    <w:rPr>
                      <w:color w:val="000000"/>
                      <w:sz w:val="28"/>
                      <w:szCs w:val="28"/>
                    </w:rPr>
                    <w:t>вования в виде ОС и  МЦ;   </w:t>
                  </w:r>
                </w:p>
              </w:tc>
            </w:tr>
          </w:tbl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B7591" w:rsidRDefault="000B7591">
      <w:pPr>
        <w:rPr>
          <w:vanish/>
        </w:rPr>
      </w:pPr>
      <w:bookmarkStart w:id="2" w:name="__bookmark_4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0B7591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0B7591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0B7591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О.В. Румянцева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0B7591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7591" w:rsidRDefault="009C09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B7591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0B7591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7591" w:rsidRDefault="009C096E">
                        <w:r>
                          <w:rPr>
                            <w:color w:val="000000"/>
                          </w:rPr>
                          <w:t>Сертификат: 1B62104A3FB6E55A75452E5DC0144C1F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Владелец: Румянцева Ольга Владимировна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Действителен с 17.11.2022 по 10.02.2024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B7591" w:rsidRDefault="000B7591">
                  <w:pPr>
                    <w:spacing w:line="1" w:lineRule="auto"/>
                  </w:pP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0B7591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0B7591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Егорова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0B7591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7591" w:rsidRDefault="009C09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B7591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0B7591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7591" w:rsidRDefault="009C096E">
                        <w:r>
                          <w:rPr>
                            <w:color w:val="000000"/>
                          </w:rPr>
                          <w:t>Сертификат: 20A71645B77064EA32E10E27773B7AA9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Владелец: Егорова Наталья Владимировна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Действителен с 20.07.2022 по 13.10.2023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B7591" w:rsidRDefault="000B7591">
                  <w:pPr>
                    <w:spacing w:line="1" w:lineRule="auto"/>
                  </w:pP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0B7591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r>
                    <w:rPr>
                      <w:color w:val="000000"/>
                      <w:sz w:val="28"/>
                      <w:szCs w:val="28"/>
                    </w:rPr>
                    <w:t xml:space="preserve">главный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бухгалтер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0B7591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Егорова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0B7591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7591" w:rsidRDefault="009C09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ДОКУМЕНТ ПОДПИСАН ЭЛЕКТРОННОЙ ПОДПИСЬЮ</w:t>
                  </w:r>
                </w:p>
              </w:tc>
            </w:tr>
            <w:tr w:rsidR="000B7591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0B7591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7591" w:rsidRDefault="009C096E">
                        <w:r>
                          <w:rPr>
                            <w:color w:val="000000"/>
                          </w:rPr>
                          <w:t>Сертификат: 20A71645B77064EA32E10E27773B7AA9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Владелец: Егорова Наталья Владимировна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Действителен с 20.07.2022 по 13.10.2023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B7591" w:rsidRDefault="000B7591">
                  <w:pPr>
                    <w:spacing w:line="1" w:lineRule="auto"/>
                  </w:pP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</w:tbl>
    <w:p w:rsidR="000B7591" w:rsidRDefault="000B7591">
      <w:pPr>
        <w:rPr>
          <w:vanish/>
        </w:rPr>
      </w:pPr>
      <w:bookmarkStart w:id="3" w:name="__bookmark_5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0B7591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7591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7591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(наименование, местонахождение )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7591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</w:tbl>
    <w:p w:rsidR="000B7591" w:rsidRDefault="000B7591">
      <w:pPr>
        <w:rPr>
          <w:vanish/>
        </w:rPr>
      </w:pPr>
      <w:bookmarkStart w:id="4" w:name="__bookmark_6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47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35"/>
      </w:tblGrid>
      <w:tr w:rsidR="000B7591">
        <w:trPr>
          <w:trHeight w:val="566"/>
        </w:trPr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16"/>
            </w:tblGrid>
            <w:tr w:rsidR="000B7591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0B7591">
                  <w:pPr>
                    <w:spacing w:line="1" w:lineRule="auto"/>
                    <w:jc w:val="center"/>
                  </w:pP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</w:tr>
      <w:tr w:rsidR="000B7591">
        <w:trPr>
          <w:trHeight w:val="566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0B7591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  <w:jc w:val="center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16"/>
            </w:tblGrid>
            <w:tr w:rsidR="000B7591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Егорова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</w:tr>
      <w:tr w:rsidR="000B7591">
        <w:trPr>
          <w:trHeight w:val="510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0B7591">
        <w:tc>
          <w:tcPr>
            <w:tcW w:w="7290" w:type="dxa"/>
            <w:gridSpan w:val="9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9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290"/>
            </w:tblGrid>
            <w:tr w:rsidR="000B7591">
              <w:trPr>
                <w:trHeight w:val="230"/>
              </w:trPr>
              <w:tc>
                <w:tcPr>
                  <w:tcW w:w="729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7591" w:rsidRDefault="009C09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B7591">
              <w:trPr>
                <w:trHeight w:val="230"/>
              </w:trPr>
              <w:tc>
                <w:tcPr>
                  <w:tcW w:w="7290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90"/>
                  </w:tblGrid>
                  <w:tr w:rsidR="000B7591">
                    <w:tc>
                      <w:tcPr>
                        <w:tcW w:w="7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7591" w:rsidRDefault="009C096E">
                        <w:r>
                          <w:rPr>
                            <w:color w:val="000000"/>
                          </w:rPr>
                          <w:t>Сертификат: 20A71645B77064EA32E10E27773B7AA9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Владелец: Егорова Наталья Владимировна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Действителен с 20.07.2022 по 13.10.2023</w:t>
                        </w:r>
                      </w:p>
                      <w:p w:rsidR="000B7591" w:rsidRDefault="009C096E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B7591" w:rsidRDefault="000B7591">
                  <w:pPr>
                    <w:spacing w:line="1" w:lineRule="auto"/>
                  </w:pP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c>
          <w:tcPr>
            <w:tcW w:w="7290" w:type="dxa"/>
            <w:gridSpan w:val="9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7591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(телефон, e-mail)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spacing w:line="1" w:lineRule="auto"/>
            </w:pPr>
          </w:p>
        </w:tc>
      </w:tr>
      <w:tr w:rsidR="000B7591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B7591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591" w:rsidRDefault="009C096E">
                  <w:r>
                    <w:rPr>
                      <w:color w:val="000000"/>
                      <w:sz w:val="28"/>
                      <w:szCs w:val="28"/>
                    </w:rPr>
                    <w:t>8 ноября 2023 г.</w:t>
                  </w:r>
                </w:p>
              </w:tc>
            </w:tr>
          </w:tbl>
          <w:p w:rsidR="000B7591" w:rsidRDefault="000B7591">
            <w:pPr>
              <w:spacing w:line="1" w:lineRule="auto"/>
            </w:pPr>
          </w:p>
        </w:tc>
      </w:tr>
    </w:tbl>
    <w:p w:rsidR="000B7591" w:rsidRDefault="000B7591">
      <w:pPr>
        <w:sectPr w:rsidR="000B7591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0B7591" w:rsidRDefault="000B7591">
      <w:pPr>
        <w:rPr>
          <w:vanish/>
        </w:rPr>
      </w:pPr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0B7591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1</w:t>
            </w:r>
          </w:p>
        </w:tc>
      </w:tr>
      <w:tr w:rsidR="000B7591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направлениях деятельности</w:t>
            </w:r>
          </w:p>
        </w:tc>
      </w:tr>
    </w:tbl>
    <w:p w:rsidR="000B7591" w:rsidRDefault="000B7591">
      <w:pPr>
        <w:rPr>
          <w:vanish/>
        </w:rPr>
      </w:pPr>
      <w:bookmarkStart w:id="5" w:name="__bookmark_8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0B7591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деятельности (код по ОКВЭД)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 бюджетной классификации (код раздела, подраздела)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0B7591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B7591">
        <w:trPr>
          <w:trHeight w:val="322"/>
        </w:trPr>
        <w:tc>
          <w:tcPr>
            <w:tcW w:w="10206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Относительно года, предшествующего отчетному (ОКВЭД по новым видам деятельности, которые не осуществлялись учреждением)</w:t>
            </w:r>
          </w:p>
        </w:tc>
      </w:tr>
      <w:tr w:rsidR="000B7591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</w:tr>
      <w:tr w:rsidR="000B7591">
        <w:trPr>
          <w:trHeight w:val="322"/>
        </w:trPr>
        <w:tc>
          <w:tcPr>
            <w:tcW w:w="10206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Относительно очередного года, следующего за отчетным (ОКВЭД по новым видам деятельности, прекращенным в отчетном году)</w:t>
            </w:r>
          </w:p>
        </w:tc>
      </w:tr>
      <w:tr w:rsidR="000B7591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</w:tr>
      <w:tr w:rsidR="000B7591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</w:tr>
    </w:tbl>
    <w:p w:rsidR="000B7591" w:rsidRDefault="000B7591">
      <w:pPr>
        <w:sectPr w:rsidR="000B7591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0B7591" w:rsidRDefault="000B7591">
      <w:pPr>
        <w:rPr>
          <w:vanish/>
        </w:rPr>
      </w:pPr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0B7591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4</w:t>
            </w:r>
          </w:p>
        </w:tc>
      </w:tr>
      <w:tr w:rsidR="000B7591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</w:tbl>
    <w:p w:rsidR="000B7591" w:rsidRDefault="000B7591">
      <w:pPr>
        <w:rPr>
          <w:vanish/>
        </w:rPr>
      </w:pPr>
      <w:bookmarkStart w:id="6" w:name="__bookmark_10"/>
      <w:bookmarkEnd w:id="6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0B7591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</w:tr>
      <w:tr w:rsidR="000B7591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первоначальной стоимости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первоначальной стоимости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объекты ОС стоимостью до 10000 рублей включительно амортизация не начисляется. На объекты ОС стоимостью от 10000 рублей до 100000 рублей включительно амортизация начисляется в размере 100% балансовой стоимости. На объекты ОС свыше 100000 рублей амортиза</w:t>
            </w:r>
            <w:r>
              <w:rPr>
                <w:color w:val="000000"/>
                <w:sz w:val="28"/>
                <w:szCs w:val="28"/>
              </w:rPr>
              <w:t>ция начисляется начиная с 1-го числа, следующим за месяцем принятия объекта к учету, линейным способом, по нормам исчисленным исходя из срока полезного использования объекта, который определяется в соответствии с ОКОФ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объекты ОС стоимостью до 10000 рубл</w:t>
            </w:r>
            <w:r>
              <w:rPr>
                <w:color w:val="000000"/>
                <w:sz w:val="28"/>
                <w:szCs w:val="28"/>
              </w:rPr>
              <w:t xml:space="preserve">ей включительно амортизация не начисляется. На объекты ОС стоимостью от 10000 рублей до 100000 рублей включительно амортизация начисляется в размере 100% балансовой стоимости. На объекты ОС свыше 100000 рублей амортизация начисляется начиная с 1-го числа, </w:t>
            </w:r>
            <w:r>
              <w:rPr>
                <w:color w:val="000000"/>
                <w:sz w:val="28"/>
                <w:szCs w:val="28"/>
              </w:rPr>
              <w:t xml:space="preserve">следующим за месяцем принятия </w:t>
            </w:r>
            <w:r>
              <w:rPr>
                <w:color w:val="000000"/>
                <w:sz w:val="28"/>
                <w:szCs w:val="28"/>
              </w:rPr>
              <w:lastRenderedPageBreak/>
              <w:t>объекта к учету, линейным способом, по нормам исчисленным исходя из срока полезного использования объекта, который определяется в соответствии с ОКОФ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фактической стоимости. С</w:t>
            </w:r>
            <w:r>
              <w:rPr>
                <w:color w:val="000000"/>
                <w:sz w:val="28"/>
                <w:szCs w:val="28"/>
              </w:rPr>
              <w:t>писание по средней фактической стоимости.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фактической стоимости. Списание по средней фактической стоимости.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средства на лицевых счетах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2 20600000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Подотчетные суммы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2 20800000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2 30200000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первоначальной стоимости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первоначальной стоимости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объекты ОС стоимостью до 10000 рублей включительно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амортизация не начисляется. На объекты ОС стоимостью от 10000 рублей до 100000 рублей включительно амортизация начисляется в размере </w:t>
            </w:r>
            <w:r>
              <w:rPr>
                <w:color w:val="000000"/>
                <w:sz w:val="28"/>
                <w:szCs w:val="28"/>
              </w:rPr>
              <w:t>100% балансовой стоимости. На объекты ОС свыше 100000 рублей амортизация начисляется начиная с 1-го числа, следующим за месяцем принятия объекта к учету, линейным способом, по нормам исчисленным исходя из срока полезного использования объекта, который опре</w:t>
            </w:r>
            <w:r>
              <w:rPr>
                <w:color w:val="000000"/>
                <w:sz w:val="28"/>
                <w:szCs w:val="28"/>
              </w:rPr>
              <w:t>деляется в соответствии с ОКОФ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 объекты ОС стоимостью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до 10000 рублей включительно амортизация не начисляется. На объекты ОС стоимостью от 10000 рублей до 100000 рублей включительно амортизация начисляется в размере 100% балансовой стоимости. На объекты </w:t>
            </w:r>
            <w:r>
              <w:rPr>
                <w:color w:val="000000"/>
                <w:sz w:val="28"/>
                <w:szCs w:val="28"/>
              </w:rPr>
              <w:t xml:space="preserve">ОС свыше 100000 рублей амортизация начисляется начиная с 1-го числа, следующим за месяцем принятия объекта к учету, линейным способом, по нормам исчисленным исходя из срока полезного использования объекта, который </w:t>
            </w:r>
            <w:r>
              <w:rPr>
                <w:color w:val="000000"/>
                <w:sz w:val="28"/>
                <w:szCs w:val="28"/>
              </w:rPr>
              <w:lastRenderedPageBreak/>
              <w:t>определяется в соответствии с ОКОФ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фактической стоимости. Списание по средней фактической стоимости.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фактической стоимости. Списание по средней фактической стоимости.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средства на лицевых счетах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</w:t>
            </w:r>
            <w:r>
              <w:rPr>
                <w:color w:val="000000"/>
                <w:sz w:val="28"/>
                <w:szCs w:val="28"/>
              </w:rPr>
              <w:t>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4 20600000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Подотчетные суммы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4 20800000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</w:tr>
      <w:tr w:rsidR="000B7591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4 30200000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</w:tr>
      <w:tr w:rsidR="000B7591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</w:tr>
    </w:tbl>
    <w:p w:rsidR="000B7591" w:rsidRDefault="000B7591">
      <w:pPr>
        <w:sectPr w:rsidR="000B7591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:rsidR="000B7591" w:rsidRDefault="000B7591">
      <w:pPr>
        <w:rPr>
          <w:vanish/>
        </w:rPr>
      </w:pPr>
      <w:bookmarkStart w:id="7" w:name="__bookmark_12"/>
      <w:bookmarkEnd w:id="7"/>
    </w:p>
    <w:tbl>
      <w:tblPr>
        <w:tblOverlap w:val="never"/>
        <w:tblW w:w="10206" w:type="dxa"/>
        <w:tblLayout w:type="fixed"/>
        <w:tblLook w:val="01E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0B7591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6</w:t>
            </w:r>
          </w:p>
        </w:tc>
      </w:tr>
      <w:tr w:rsidR="000B7591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</w:tbl>
    <w:p w:rsidR="000B7591" w:rsidRDefault="000B7591">
      <w:pPr>
        <w:rPr>
          <w:vanish/>
        </w:rPr>
      </w:pPr>
      <w:bookmarkStart w:id="8" w:name="__bookmark_13"/>
      <w:bookmarkEnd w:id="8"/>
    </w:p>
    <w:tbl>
      <w:tblPr>
        <w:tblOverlap w:val="never"/>
        <w:tblW w:w="10206" w:type="dxa"/>
        <w:tblLayout w:type="fixed"/>
        <w:tblLook w:val="01E0"/>
      </w:tblPr>
      <w:tblGrid>
        <w:gridCol w:w="1049"/>
        <w:gridCol w:w="1049"/>
        <w:gridCol w:w="1049"/>
        <w:gridCol w:w="1049"/>
        <w:gridCol w:w="1049"/>
        <w:gridCol w:w="1700"/>
        <w:gridCol w:w="1049"/>
        <w:gridCol w:w="56"/>
        <w:gridCol w:w="1049"/>
        <w:gridCol w:w="1049"/>
        <w:gridCol w:w="58"/>
      </w:tblGrid>
      <w:tr w:rsidR="000B7591">
        <w:trPr>
          <w:trHeight w:val="510"/>
          <w:tblHeader/>
        </w:trPr>
        <w:tc>
          <w:tcPr>
            <w:tcW w:w="52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0B7591">
        <w:trPr>
          <w:trHeight w:val="566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бухгалтер-</w:t>
            </w:r>
            <w:r>
              <w:rPr>
                <w:color w:val="000000"/>
                <w:sz w:val="28"/>
                <w:szCs w:val="28"/>
              </w:rPr>
              <w:br/>
              <w:t>ского</w:t>
            </w:r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</w:tr>
      <w:tr w:rsidR="000B7591">
        <w:trPr>
          <w:trHeight w:val="623"/>
          <w:tblHeader/>
        </w:trPr>
        <w:tc>
          <w:tcPr>
            <w:tcW w:w="2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0B7591">
            <w:pPr>
              <w:spacing w:line="1" w:lineRule="auto"/>
            </w:pPr>
          </w:p>
        </w:tc>
      </w:tr>
      <w:tr w:rsidR="000B7591">
        <w:trPr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591" w:rsidRDefault="009C0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B7591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9C09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591" w:rsidRDefault="000B7591">
            <w:pPr>
              <w:rPr>
                <w:color w:val="000000"/>
                <w:sz w:val="28"/>
                <w:szCs w:val="28"/>
              </w:rPr>
            </w:pPr>
          </w:p>
        </w:tc>
      </w:tr>
      <w:tr w:rsidR="000B7591"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9C0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591" w:rsidRDefault="000B7591">
            <w:pPr>
              <w:spacing w:line="1" w:lineRule="auto"/>
            </w:pPr>
          </w:p>
        </w:tc>
      </w:tr>
    </w:tbl>
    <w:p w:rsidR="009C096E" w:rsidRDefault="009C096E"/>
    <w:sectPr w:rsidR="009C096E" w:rsidSect="000B7591">
      <w:headerReference w:type="default" r:id="rId12"/>
      <w:footerReference w:type="default" r:id="rId13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6E" w:rsidRDefault="009C096E" w:rsidP="000B7591">
      <w:r>
        <w:separator/>
      </w:r>
    </w:p>
  </w:endnote>
  <w:endnote w:type="continuationSeparator" w:id="1">
    <w:p w:rsidR="009C096E" w:rsidRDefault="009C096E" w:rsidP="000B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7591">
      <w:tc>
        <w:tcPr>
          <w:tcW w:w="10421" w:type="dxa"/>
        </w:tcPr>
        <w:p w:rsidR="000B7591" w:rsidRDefault="000B7591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7591">
      <w:tc>
        <w:tcPr>
          <w:tcW w:w="10421" w:type="dxa"/>
        </w:tcPr>
        <w:p w:rsidR="000B7591" w:rsidRDefault="000B7591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7591">
      <w:tc>
        <w:tcPr>
          <w:tcW w:w="10421" w:type="dxa"/>
        </w:tcPr>
        <w:p w:rsidR="000B7591" w:rsidRDefault="000B7591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7591">
      <w:tc>
        <w:tcPr>
          <w:tcW w:w="10421" w:type="dxa"/>
        </w:tcPr>
        <w:p w:rsidR="000B7591" w:rsidRDefault="000B759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6E" w:rsidRDefault="009C096E" w:rsidP="000B7591">
      <w:r>
        <w:separator/>
      </w:r>
    </w:p>
  </w:footnote>
  <w:footnote w:type="continuationSeparator" w:id="1">
    <w:p w:rsidR="009C096E" w:rsidRDefault="009C096E" w:rsidP="000B7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7591">
      <w:tc>
        <w:tcPr>
          <w:tcW w:w="10421" w:type="dxa"/>
        </w:tcPr>
        <w:p w:rsidR="000B7591" w:rsidRDefault="000B7591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7591">
      <w:tc>
        <w:tcPr>
          <w:tcW w:w="10421" w:type="dxa"/>
        </w:tcPr>
        <w:p w:rsidR="000B7591" w:rsidRDefault="000B7591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7591">
      <w:tc>
        <w:tcPr>
          <w:tcW w:w="10421" w:type="dxa"/>
        </w:tcPr>
        <w:p w:rsidR="000B7591" w:rsidRDefault="000B7591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B7591">
      <w:tc>
        <w:tcPr>
          <w:tcW w:w="10421" w:type="dxa"/>
        </w:tcPr>
        <w:p w:rsidR="000B7591" w:rsidRDefault="000B759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591"/>
    <w:rsid w:val="000B7591"/>
    <w:rsid w:val="00484CF7"/>
    <w:rsid w:val="009C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B7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2023-11-08T10:54:00Z</dcterms:created>
  <dcterms:modified xsi:type="dcterms:W3CDTF">2023-11-08T10:54:00Z</dcterms:modified>
</cp:coreProperties>
</file>